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4C" w:rsidRPr="004C2697" w:rsidRDefault="004C2697" w:rsidP="004C2697">
      <w:pPr>
        <w:jc w:val="center"/>
        <w:rPr>
          <w:rFonts w:ascii="標楷體" w:eastAsia="標楷體" w:hAnsi="標楷體"/>
        </w:rPr>
      </w:pPr>
      <w:r w:rsidRPr="004C2697">
        <w:rPr>
          <w:rFonts w:ascii="標楷體" w:eastAsia="標楷體" w:hAnsi="標楷體" w:hint="eastAsia"/>
          <w:bCs/>
          <w:color w:val="000000" w:themeColor="text1"/>
        </w:rPr>
        <w:t>超微量分光光度計</w:t>
      </w:r>
    </w:p>
    <w:p w:rsidR="004C2697" w:rsidRPr="004C2697" w:rsidRDefault="004C2697" w:rsidP="004C2697">
      <w:pPr>
        <w:widowControl w:val="0"/>
        <w:jc w:val="both"/>
        <w:rPr>
          <w:rFonts w:ascii="標楷體" w:eastAsia="標楷體" w:hAnsi="標楷體"/>
          <w:sz w:val="26"/>
          <w:szCs w:val="26"/>
        </w:rPr>
      </w:pPr>
      <w:r w:rsidRPr="004C2697">
        <w:rPr>
          <w:rFonts w:ascii="標楷體" w:eastAsia="標楷體" w:hAnsi="標楷體" w:hint="eastAsia"/>
          <w:sz w:val="26"/>
          <w:szCs w:val="26"/>
        </w:rPr>
        <w:t>一、</w:t>
      </w:r>
      <w:r w:rsidRPr="004C2697">
        <w:rPr>
          <w:rFonts w:ascii="標楷體" w:eastAsia="標楷體" w:hAnsi="標楷體"/>
          <w:sz w:val="26"/>
          <w:szCs w:val="26"/>
        </w:rPr>
        <w:t>規格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儀器需可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單機操控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及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顯示讀值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，無需外接電腦。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穿透式光源需為發光二極體或固態雷射，偵測之光徑距離至少可達0.5 mm。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單機可儲存至少500組檢測結果，且資料可以USB儲存裝置移出。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單機需具備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至少兩組USB接口，以同時供資料儲存及維修校正使用。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單一樣品檢測時間需低於五秒鐘。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 xml:space="preserve">儀器對核醣核酸之偵測極限需至少含3.2 </w:t>
      </w:r>
      <w:proofErr w:type="spellStart"/>
      <w:r w:rsidRPr="004C2697">
        <w:rPr>
          <w:rFonts w:ascii="標楷體" w:eastAsia="標楷體" w:hAnsi="標楷體"/>
          <w:bCs/>
          <w:color w:val="000000" w:themeColor="text1"/>
        </w:rPr>
        <w:t>ng</w:t>
      </w:r>
      <w:proofErr w:type="spellEnd"/>
      <w:r w:rsidRPr="004C2697">
        <w:rPr>
          <w:rFonts w:ascii="標楷體" w:eastAsia="標楷體" w:hAnsi="標楷體" w:cs="Arial"/>
          <w:bCs/>
          <w:color w:val="000000" w:themeColor="text1"/>
        </w:rPr>
        <w:t>/</w:t>
      </w:r>
      <w:r w:rsidRPr="004C2697">
        <w:rPr>
          <w:rFonts w:ascii="標楷體" w:eastAsia="標楷體" w:hAnsi="標楷體" w:cs="Arial"/>
          <w:color w:val="000000" w:themeColor="text1"/>
        </w:rPr>
        <w:t>µ</w:t>
      </w:r>
      <w:r w:rsidRPr="004C2697">
        <w:rPr>
          <w:rFonts w:ascii="標楷體" w:eastAsia="標楷體" w:hAnsi="標楷體"/>
          <w:bCs/>
          <w:color w:val="000000" w:themeColor="text1"/>
        </w:rPr>
        <w:t xml:space="preserve">l到1,200 </w:t>
      </w:r>
      <w:proofErr w:type="spellStart"/>
      <w:r w:rsidRPr="004C2697">
        <w:rPr>
          <w:rFonts w:ascii="標楷體" w:eastAsia="標楷體" w:hAnsi="標楷體"/>
          <w:bCs/>
          <w:color w:val="000000" w:themeColor="text1"/>
        </w:rPr>
        <w:t>ng</w:t>
      </w:r>
      <w:proofErr w:type="spellEnd"/>
      <w:r w:rsidRPr="004C2697">
        <w:rPr>
          <w:rFonts w:ascii="標楷體" w:eastAsia="標楷體" w:hAnsi="標楷體" w:cs="Arial"/>
          <w:bCs/>
          <w:color w:val="000000" w:themeColor="text1"/>
        </w:rPr>
        <w:t>/</w:t>
      </w:r>
      <w:r w:rsidRPr="004C2697">
        <w:rPr>
          <w:rFonts w:ascii="標楷體" w:eastAsia="標楷體" w:hAnsi="標楷體" w:cs="Arial"/>
          <w:color w:val="000000" w:themeColor="text1"/>
        </w:rPr>
        <w:t>µ</w:t>
      </w:r>
      <w:r w:rsidRPr="004C2697">
        <w:rPr>
          <w:rFonts w:ascii="標楷體" w:eastAsia="標楷體" w:hAnsi="標楷體"/>
          <w:bCs/>
          <w:color w:val="000000" w:themeColor="text1"/>
        </w:rPr>
        <w:t>l之範圍。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 xml:space="preserve">儀器對雙股去氧核醣核酸之偵測極限需至少含4 </w:t>
      </w:r>
      <w:proofErr w:type="spellStart"/>
      <w:r w:rsidRPr="004C2697">
        <w:rPr>
          <w:rFonts w:ascii="標楷體" w:eastAsia="標楷體" w:hAnsi="標楷體"/>
          <w:bCs/>
          <w:color w:val="000000" w:themeColor="text1"/>
        </w:rPr>
        <w:t>ng</w:t>
      </w:r>
      <w:proofErr w:type="spellEnd"/>
      <w:r w:rsidRPr="004C2697">
        <w:rPr>
          <w:rFonts w:ascii="標楷體" w:eastAsia="標楷體" w:hAnsi="標楷體" w:cs="Arial"/>
          <w:bCs/>
          <w:color w:val="000000" w:themeColor="text1"/>
        </w:rPr>
        <w:t>/</w:t>
      </w:r>
      <w:r w:rsidRPr="004C2697">
        <w:rPr>
          <w:rFonts w:ascii="標楷體" w:eastAsia="標楷體" w:hAnsi="標楷體" w:cs="Arial"/>
          <w:color w:val="000000" w:themeColor="text1"/>
        </w:rPr>
        <w:t>µ</w:t>
      </w:r>
      <w:r w:rsidRPr="004C2697">
        <w:rPr>
          <w:rFonts w:ascii="標楷體" w:eastAsia="標楷體" w:hAnsi="標楷體"/>
          <w:bCs/>
          <w:color w:val="000000" w:themeColor="text1"/>
        </w:rPr>
        <w:t xml:space="preserve">l到1,500 </w:t>
      </w:r>
      <w:proofErr w:type="spellStart"/>
      <w:r w:rsidRPr="004C2697">
        <w:rPr>
          <w:rFonts w:ascii="標楷體" w:eastAsia="標楷體" w:hAnsi="標楷體"/>
          <w:bCs/>
          <w:color w:val="000000" w:themeColor="text1"/>
        </w:rPr>
        <w:t>ng</w:t>
      </w:r>
      <w:proofErr w:type="spellEnd"/>
      <w:r w:rsidRPr="004C2697">
        <w:rPr>
          <w:rFonts w:ascii="標楷體" w:eastAsia="標楷體" w:hAnsi="標楷體" w:cs="Arial"/>
          <w:bCs/>
          <w:color w:val="000000" w:themeColor="text1"/>
        </w:rPr>
        <w:t>/</w:t>
      </w:r>
      <w:r w:rsidRPr="004C2697">
        <w:rPr>
          <w:rFonts w:ascii="標楷體" w:eastAsia="標楷體" w:hAnsi="標楷體" w:cs="Arial"/>
          <w:color w:val="000000" w:themeColor="text1"/>
        </w:rPr>
        <w:t>µ</w:t>
      </w:r>
      <w:r w:rsidRPr="004C2697">
        <w:rPr>
          <w:rFonts w:ascii="標楷體" w:eastAsia="標楷體" w:hAnsi="標楷體"/>
          <w:bCs/>
          <w:color w:val="000000" w:themeColor="text1"/>
        </w:rPr>
        <w:t>l之範圍。</w:t>
      </w:r>
    </w:p>
    <w:p w:rsidR="004C2697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 xml:space="preserve">單次檢測樣品之最小體積至少可達1 </w:t>
      </w:r>
      <w:r w:rsidRPr="004C2697">
        <w:rPr>
          <w:rFonts w:ascii="標楷體" w:eastAsia="標楷體" w:hAnsi="標楷體" w:cs="Arial"/>
          <w:bCs/>
          <w:color w:val="000000" w:themeColor="text1"/>
        </w:rPr>
        <w:t>µ</w:t>
      </w:r>
      <w:r w:rsidRPr="004C2697">
        <w:rPr>
          <w:rFonts w:ascii="標楷體" w:eastAsia="標楷體" w:hAnsi="標楷體"/>
          <w:bCs/>
          <w:color w:val="000000" w:themeColor="text1"/>
        </w:rPr>
        <w:t>l，且檢測時不需藉由任何容器介面 (如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比色管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、</w:t>
      </w:r>
      <w:r w:rsidR="004C2697">
        <w:rPr>
          <w:rFonts w:ascii="標楷體" w:eastAsia="標楷體" w:hAnsi="標楷體" w:hint="eastAsia"/>
          <w:bCs/>
          <w:color w:val="000000" w:themeColor="text1"/>
        </w:rPr>
        <w:t xml:space="preserve"> </w:t>
      </w:r>
    </w:p>
    <w:p w:rsidR="00FF5A4C" w:rsidRPr="004C2697" w:rsidRDefault="004C2697" w:rsidP="004C2697">
      <w:pPr>
        <w:ind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3E7E05" w:rsidRPr="004C2697">
        <w:rPr>
          <w:rFonts w:ascii="標楷體" w:eastAsia="標楷體" w:hAnsi="標楷體"/>
          <w:bCs/>
          <w:color w:val="000000" w:themeColor="text1"/>
        </w:rPr>
        <w:t>疏水</w:t>
      </w:r>
      <w:proofErr w:type="gramStart"/>
      <w:r w:rsidR="003E7E05" w:rsidRPr="004C2697">
        <w:rPr>
          <w:rFonts w:ascii="標楷體" w:eastAsia="標楷體" w:hAnsi="標楷體"/>
          <w:bCs/>
          <w:color w:val="000000" w:themeColor="text1"/>
        </w:rPr>
        <w:t>玻片盤</w:t>
      </w:r>
      <w:proofErr w:type="gramEnd"/>
      <w:r w:rsidR="003E7E05" w:rsidRPr="004C2697">
        <w:rPr>
          <w:rFonts w:ascii="標楷體" w:eastAsia="標楷體" w:hAnsi="標楷體"/>
          <w:bCs/>
          <w:color w:val="000000" w:themeColor="text1"/>
        </w:rPr>
        <w:t>、塑膠透明管) 即可進行檢測。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需具備CE及UL/CSA 等安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規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認證，確保產品品質。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與樣品接觸之介面材質需為303不鏽鋼及石英，以耐擦拭避免磨損。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260 nm吸收光精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準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度需可達3%。</w:t>
      </w:r>
    </w:p>
    <w:p w:rsidR="004C2697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color w:val="000000" w:themeColor="text1"/>
        </w:rPr>
        <w:t>樣品載台需具至少甲醇、乙醇、丙醇、異丙醇、</w:t>
      </w:r>
      <w:proofErr w:type="gramStart"/>
      <w:r w:rsidRPr="004C2697">
        <w:rPr>
          <w:rFonts w:ascii="標楷體" w:eastAsia="標楷體" w:hAnsi="標楷體"/>
          <w:color w:val="000000" w:themeColor="text1"/>
        </w:rPr>
        <w:t>丁醇、</w:t>
      </w:r>
      <w:proofErr w:type="gramEnd"/>
      <w:r w:rsidRPr="004C2697">
        <w:rPr>
          <w:rFonts w:ascii="標楷體" w:eastAsia="標楷體" w:hAnsi="標楷體"/>
          <w:color w:val="000000" w:themeColor="text1"/>
        </w:rPr>
        <w:t>丙酮、醚、三氯甲烷、四氯化碳、</w:t>
      </w:r>
      <w:r w:rsidR="004C2697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4C2697" w:rsidRDefault="004C2697" w:rsidP="004C2697">
      <w:pPr>
        <w:ind w:left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3E7E05" w:rsidRPr="004C2697">
        <w:rPr>
          <w:rFonts w:ascii="標楷體" w:eastAsia="標楷體" w:hAnsi="標楷體"/>
          <w:color w:val="000000" w:themeColor="text1"/>
        </w:rPr>
        <w:t>二甲基亞碸、二甲基甲醯胺、乙腈、四氫呋喃、甲苯、己烷、苯、氫氧化鈉、次氯酸鈉、</w:t>
      </w:r>
    </w:p>
    <w:p w:rsidR="00FF5A4C" w:rsidRPr="004C2697" w:rsidRDefault="004C2697" w:rsidP="004C2697">
      <w:pPr>
        <w:ind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3E7E05" w:rsidRPr="004C2697">
        <w:rPr>
          <w:rFonts w:ascii="標楷體" w:eastAsia="標楷體" w:hAnsi="標楷體"/>
          <w:color w:val="000000" w:themeColor="text1"/>
        </w:rPr>
        <w:t>稀鹽酸、稀</w:t>
      </w:r>
      <w:proofErr w:type="gramStart"/>
      <w:r w:rsidR="003E7E05" w:rsidRPr="004C2697">
        <w:rPr>
          <w:rFonts w:ascii="標楷體" w:eastAsia="標楷體" w:hAnsi="標楷體"/>
          <w:color w:val="000000" w:themeColor="text1"/>
        </w:rPr>
        <w:t>硝酸及稀乙酸</w:t>
      </w:r>
      <w:proofErr w:type="gramEnd"/>
      <w:r w:rsidR="003E7E05" w:rsidRPr="004C2697">
        <w:rPr>
          <w:rFonts w:ascii="標楷體" w:eastAsia="標楷體" w:hAnsi="標楷體"/>
          <w:color w:val="000000" w:themeColor="text1"/>
        </w:rPr>
        <w:t>等溶劑之相容性。</w:t>
      </w:r>
    </w:p>
    <w:p w:rsidR="004C2697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color w:val="000000" w:themeColor="text1"/>
        </w:rPr>
        <w:t>儀器校正法</w:t>
      </w:r>
      <w:proofErr w:type="gramStart"/>
      <w:r w:rsidRPr="004C2697">
        <w:rPr>
          <w:rFonts w:ascii="標楷體" w:eastAsia="標楷體" w:hAnsi="標楷體"/>
          <w:color w:val="000000" w:themeColor="text1"/>
        </w:rPr>
        <w:t>採</w:t>
      </w:r>
      <w:proofErr w:type="gramEnd"/>
      <w:r w:rsidRPr="004C2697">
        <w:rPr>
          <w:rFonts w:ascii="標楷體" w:eastAsia="標楷體" w:hAnsi="標楷體"/>
          <w:color w:val="000000" w:themeColor="text1"/>
        </w:rPr>
        <w:t>標準重鉻</w:t>
      </w:r>
      <w:proofErr w:type="gramStart"/>
      <w:r w:rsidRPr="004C2697">
        <w:rPr>
          <w:rFonts w:ascii="標楷體" w:eastAsia="標楷體" w:hAnsi="標楷體"/>
          <w:color w:val="000000" w:themeColor="text1"/>
        </w:rPr>
        <w:t>酸鉀液偵測</w:t>
      </w:r>
      <w:proofErr w:type="gramEnd"/>
      <w:r w:rsidRPr="004C2697">
        <w:rPr>
          <w:rFonts w:ascii="標楷體" w:eastAsia="標楷體" w:hAnsi="標楷體"/>
          <w:color w:val="000000" w:themeColor="text1"/>
        </w:rPr>
        <w:t>十次後</w:t>
      </w:r>
      <w:proofErr w:type="gramStart"/>
      <w:r w:rsidRPr="004C2697">
        <w:rPr>
          <w:rFonts w:ascii="標楷體" w:eastAsia="標楷體" w:hAnsi="標楷體"/>
          <w:color w:val="000000" w:themeColor="text1"/>
        </w:rPr>
        <w:t>的讀值做</w:t>
      </w:r>
      <w:proofErr w:type="gramEnd"/>
      <w:r w:rsidRPr="004C2697">
        <w:rPr>
          <w:rFonts w:ascii="標楷體" w:eastAsia="標楷體" w:hAnsi="標楷體"/>
          <w:color w:val="000000" w:themeColor="text1"/>
        </w:rPr>
        <w:t>平均與目標值做比較，軟體並可呈現</w:t>
      </w:r>
    </w:p>
    <w:p w:rsidR="00FF5A4C" w:rsidRPr="004C2697" w:rsidRDefault="004C2697" w:rsidP="004C2697">
      <w:pPr>
        <w:ind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3E7E05" w:rsidRPr="004C2697">
        <w:rPr>
          <w:rFonts w:ascii="標楷體" w:eastAsia="標楷體" w:hAnsi="標楷體"/>
          <w:color w:val="000000" w:themeColor="text1"/>
        </w:rPr>
        <w:t>Error值百分比及</w:t>
      </w:r>
      <w:proofErr w:type="spellStart"/>
      <w:r w:rsidR="003E7E05" w:rsidRPr="004C2697">
        <w:rPr>
          <w:rFonts w:ascii="標楷體" w:eastAsia="標楷體" w:hAnsi="標楷體"/>
          <w:color w:val="000000" w:themeColor="text1"/>
        </w:rPr>
        <w:t>Stdev</w:t>
      </w:r>
      <w:proofErr w:type="spellEnd"/>
      <w:r w:rsidR="003E7E05" w:rsidRPr="004C2697">
        <w:rPr>
          <w:rFonts w:ascii="標楷體" w:eastAsia="標楷體" w:hAnsi="標楷體"/>
          <w:color w:val="000000" w:themeColor="text1"/>
        </w:rPr>
        <w:t>值。</w:t>
      </w:r>
    </w:p>
    <w:p w:rsidR="004C2697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color w:val="000000" w:themeColor="text1"/>
        </w:rPr>
        <w:t>可升級加裝數據打印機，搭載後偵測結果可直接輸出至標籤貼紙上，標籤貼紙對存放溫</w:t>
      </w:r>
    </w:p>
    <w:p w:rsidR="00FF5A4C" w:rsidRPr="004C2697" w:rsidRDefault="004C2697" w:rsidP="004C2697">
      <w:pPr>
        <w:ind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3E7E05" w:rsidRPr="004C2697">
        <w:rPr>
          <w:rFonts w:ascii="標楷體" w:eastAsia="標楷體" w:hAnsi="標楷體"/>
          <w:color w:val="000000" w:themeColor="text1"/>
        </w:rPr>
        <w:t>度的耐受溫度需至少含70° C到</w:t>
      </w:r>
      <w:r w:rsidR="003E7E05" w:rsidRPr="004C2697">
        <w:rPr>
          <w:rFonts w:ascii="標楷體" w:eastAsia="標楷體" w:hAnsi="MS Mincho" w:cs="MS Mincho"/>
          <w:color w:val="000000" w:themeColor="text1"/>
        </w:rPr>
        <w:t>−</w:t>
      </w:r>
      <w:r w:rsidR="003E7E05" w:rsidRPr="004C2697">
        <w:rPr>
          <w:rFonts w:ascii="標楷體" w:eastAsia="標楷體" w:hAnsi="標楷體"/>
          <w:color w:val="000000" w:themeColor="text1"/>
        </w:rPr>
        <w:t>196° C之範圍。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color w:val="000000" w:themeColor="text1"/>
        </w:rPr>
        <w:t>需附4GB隨身</w:t>
      </w:r>
      <w:proofErr w:type="gramStart"/>
      <w:r w:rsidRPr="004C2697">
        <w:rPr>
          <w:rFonts w:ascii="標楷體" w:eastAsia="標楷體" w:hAnsi="標楷體"/>
          <w:color w:val="000000" w:themeColor="text1"/>
        </w:rPr>
        <w:t>碟</w:t>
      </w:r>
      <w:proofErr w:type="gramEnd"/>
      <w:r w:rsidRPr="004C2697">
        <w:rPr>
          <w:rFonts w:ascii="標楷體" w:eastAsia="標楷體" w:hAnsi="標楷體"/>
          <w:color w:val="000000" w:themeColor="text1"/>
        </w:rPr>
        <w:t>一支。</w:t>
      </w:r>
    </w:p>
    <w:p w:rsidR="00FF5A4C" w:rsidRPr="004C2697" w:rsidRDefault="003E7E05">
      <w:pPr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bCs/>
          <w:color w:val="000000" w:themeColor="text1"/>
        </w:rPr>
        <w:t>交貨時須</w:t>
      </w:r>
      <w:proofErr w:type="gramStart"/>
      <w:r w:rsidRPr="004C2697">
        <w:rPr>
          <w:rFonts w:ascii="標楷體" w:eastAsia="標楷體" w:hAnsi="標楷體"/>
          <w:bCs/>
          <w:color w:val="000000" w:themeColor="text1"/>
        </w:rPr>
        <w:t>附重鉻</w:t>
      </w:r>
      <w:proofErr w:type="gramEnd"/>
      <w:r w:rsidRPr="004C2697">
        <w:rPr>
          <w:rFonts w:ascii="標楷體" w:eastAsia="標楷體" w:hAnsi="標楷體"/>
          <w:bCs/>
          <w:color w:val="000000" w:themeColor="text1"/>
        </w:rPr>
        <w:t>酸鉀標準液一瓶。</w:t>
      </w:r>
    </w:p>
    <w:p w:rsidR="004C2697" w:rsidRPr="004C2697" w:rsidRDefault="004C2697" w:rsidP="004C2697">
      <w:pPr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4C2697">
        <w:rPr>
          <w:rFonts w:ascii="標楷體" w:eastAsia="標楷體" w:hAnsi="標楷體"/>
          <w:color w:val="000000"/>
          <w:sz w:val="26"/>
          <w:szCs w:val="26"/>
        </w:rPr>
        <w:t>二.要求</w:t>
      </w:r>
    </w:p>
    <w:p w:rsid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1. 投標時須附</w:t>
      </w:r>
      <w:proofErr w:type="gramStart"/>
      <w:r w:rsidRPr="004C2697">
        <w:rPr>
          <w:rFonts w:ascii="標楷體" w:eastAsia="標楷體" w:hAnsi="標楷體"/>
          <w:color w:val="000000"/>
        </w:rPr>
        <w:t>原廠型錄</w:t>
      </w:r>
      <w:r w:rsidRPr="004C2697">
        <w:rPr>
          <w:rFonts w:ascii="標楷體" w:eastAsia="標楷體" w:hAnsi="標楷體" w:hint="eastAsia"/>
          <w:color w:val="000000"/>
        </w:rPr>
        <w:t>影</w:t>
      </w:r>
      <w:proofErr w:type="gramEnd"/>
      <w:r w:rsidRPr="004C2697">
        <w:rPr>
          <w:rFonts w:ascii="標楷體" w:eastAsia="標楷體" w:hAnsi="標楷體" w:hint="eastAsia"/>
          <w:color w:val="000000"/>
        </w:rPr>
        <w:t>本</w:t>
      </w:r>
      <w:r w:rsidRPr="004C2697">
        <w:rPr>
          <w:rFonts w:ascii="標楷體" w:eastAsia="標楷體" w:hAnsi="標楷體"/>
          <w:color w:val="000000"/>
        </w:rPr>
        <w:t>及中文規格</w:t>
      </w:r>
      <w:proofErr w:type="gramStart"/>
      <w:r w:rsidRPr="004C2697">
        <w:rPr>
          <w:rFonts w:ascii="標楷體" w:eastAsia="標楷體" w:hAnsi="標楷體"/>
          <w:color w:val="000000"/>
        </w:rPr>
        <w:t>說明書供審</w:t>
      </w:r>
      <w:proofErr w:type="gramEnd"/>
      <w:r w:rsidRPr="004C2697">
        <w:rPr>
          <w:rFonts w:ascii="標楷體" w:eastAsia="標楷體" w:hAnsi="標楷體"/>
          <w:color w:val="000000"/>
        </w:rPr>
        <w:t>，中文規格說明書內容與順序需與規範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C2697">
        <w:rPr>
          <w:rFonts w:ascii="標楷體" w:eastAsia="標楷體" w:hAnsi="標楷體"/>
          <w:color w:val="000000"/>
        </w:rPr>
        <w:t xml:space="preserve">相符，並應加蓋廠商圖章。 </w:t>
      </w:r>
    </w:p>
    <w:p w:rsid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2. 得標商應於決標次日起</w:t>
      </w:r>
      <w:r w:rsidR="00B702A1">
        <w:rPr>
          <w:rFonts w:ascii="標楷體" w:eastAsia="標楷體" w:hAnsi="標楷體" w:hint="eastAsia"/>
          <w:color w:val="000000"/>
        </w:rPr>
        <w:t>60</w:t>
      </w:r>
      <w:r w:rsidRPr="004C2697">
        <w:rPr>
          <w:rFonts w:ascii="標楷體" w:eastAsia="標楷體" w:hAnsi="標楷體"/>
          <w:color w:val="000000"/>
        </w:rPr>
        <w:t>日內完成交貨及教育訓練，交貨時須負責現場、設備等安裝，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C2697">
        <w:rPr>
          <w:rFonts w:ascii="標楷體" w:eastAsia="標楷體" w:hAnsi="標楷體"/>
          <w:color w:val="000000"/>
        </w:rPr>
        <w:t>並提供儀器測試報告（含原廠實驗條件及操作流程）、原廠操作及保養手冊。</w:t>
      </w:r>
    </w:p>
    <w:p w:rsid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3. 自交貨驗收合格日起負責保固1年，得標廠商在保固期間內，如非人為因素之損壞，應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C2697">
        <w:rPr>
          <w:rFonts w:ascii="標楷體" w:eastAsia="標楷體" w:hAnsi="標楷體"/>
          <w:color w:val="000000"/>
        </w:rPr>
        <w:t>負責修護或零件更換，不含消耗品。</w:t>
      </w:r>
    </w:p>
    <w:p w:rsid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4. 得標廠商須免費派員至買方指定地點實施操作教育訓練4小時及試機，並提供原廠儀器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C2697">
        <w:rPr>
          <w:rFonts w:ascii="標楷體" w:eastAsia="標楷體" w:hAnsi="標楷體"/>
          <w:color w:val="000000"/>
        </w:rPr>
        <w:t>操作手冊1份，儀器中文操作手冊至少3份。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5. 得標廠商交貨時須檢附海關進口證明及原廠出廠證明書以供驗收。</w:t>
      </w:r>
    </w:p>
    <w:p w:rsidR="004C2697" w:rsidRPr="004C2697" w:rsidRDefault="004C2697" w:rsidP="004C2697">
      <w:pPr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/>
          <w:color w:val="000000"/>
        </w:rPr>
        <w:t>6. 為確保本單位權益，得標廠商需配合下列事項：</w:t>
      </w:r>
    </w:p>
    <w:p w:rsidR="004C2697" w:rsidRDefault="004C2697" w:rsidP="004C2697">
      <w:pPr>
        <w:snapToGrid w:val="0"/>
        <w:spacing w:line="360" w:lineRule="atLeast"/>
        <w:rPr>
          <w:rFonts w:ascii="標楷體" w:eastAsia="標楷體" w:hAnsi="標楷體"/>
          <w:color w:val="000000"/>
        </w:rPr>
      </w:pPr>
      <w:r w:rsidRPr="004C2697">
        <w:rPr>
          <w:rFonts w:ascii="標楷體" w:eastAsia="標楷體" w:hAnsi="標楷體" w:hint="eastAsia"/>
          <w:color w:val="000000"/>
        </w:rPr>
        <w:t xml:space="preserve">   *</w:t>
      </w:r>
      <w:r w:rsidRPr="004C2697">
        <w:rPr>
          <w:rFonts w:ascii="標楷體" w:eastAsia="標楷體" w:hAnsi="標楷體"/>
          <w:color w:val="000000"/>
        </w:rPr>
        <w:t>為避免使用者日後發表國際論文產生困擾，儀器之設計或技術若有侵犯國外專利等侵權</w:t>
      </w:r>
    </w:p>
    <w:p w:rsidR="004C2697" w:rsidRPr="004C2697" w:rsidRDefault="004C2697" w:rsidP="004C2697">
      <w:pPr>
        <w:snapToGrid w:val="0"/>
        <w:spacing w:line="3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4C2697">
        <w:rPr>
          <w:rFonts w:ascii="標楷體" w:eastAsia="標楷體" w:hAnsi="標楷體"/>
          <w:color w:val="000000"/>
        </w:rPr>
        <w:t>之疑慮者，儀器製造商需提供專利權人之授權相關證明，不可以切結書代替之。</w:t>
      </w:r>
    </w:p>
    <w:p w:rsidR="004C2697" w:rsidRPr="004C2697" w:rsidRDefault="004C2697" w:rsidP="004C2697">
      <w:pPr>
        <w:jc w:val="both"/>
        <w:rPr>
          <w:rFonts w:ascii="標楷體" w:eastAsia="標楷體" w:hAnsi="標楷體"/>
        </w:rPr>
      </w:pPr>
      <w:r w:rsidRPr="004C2697">
        <w:rPr>
          <w:rFonts w:ascii="標楷體" w:eastAsia="標楷體" w:hAnsi="標楷體"/>
          <w:color w:val="000000"/>
        </w:rPr>
        <w:t>7. 交貨地點：臺南區農業改良場義竹工作站(嘉義縣義竹鄉中平村</w:t>
      </w:r>
      <w:r w:rsidR="00C5076A">
        <w:rPr>
          <w:rFonts w:ascii="標楷體" w:eastAsia="標楷體" w:hAnsi="標楷體" w:hint="eastAsia"/>
          <w:color w:val="000000"/>
        </w:rPr>
        <w:t>中庄</w:t>
      </w:r>
      <w:r w:rsidRPr="004C2697">
        <w:rPr>
          <w:rFonts w:ascii="標楷體" w:eastAsia="標楷體" w:hAnsi="標楷體"/>
          <w:color w:val="000000"/>
        </w:rPr>
        <w:t>84號)。</w:t>
      </w:r>
    </w:p>
    <w:sectPr w:rsidR="004C2697" w:rsidRPr="004C2697" w:rsidSect="00FF5A4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2B" w:rsidRDefault="000B3C2B" w:rsidP="004C2697">
      <w:r>
        <w:separator/>
      </w:r>
    </w:p>
  </w:endnote>
  <w:endnote w:type="continuationSeparator" w:id="0">
    <w:p w:rsidR="000B3C2B" w:rsidRDefault="000B3C2B" w:rsidP="004C2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2B" w:rsidRDefault="000B3C2B" w:rsidP="004C2697">
      <w:r>
        <w:separator/>
      </w:r>
    </w:p>
  </w:footnote>
  <w:footnote w:type="continuationSeparator" w:id="0">
    <w:p w:rsidR="000B3C2B" w:rsidRDefault="000B3C2B" w:rsidP="004C2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121"/>
    <w:multiLevelType w:val="multilevel"/>
    <w:tmpl w:val="0BF2C2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D2687E"/>
    <w:multiLevelType w:val="hybridMultilevel"/>
    <w:tmpl w:val="A6021C6C"/>
    <w:lvl w:ilvl="0" w:tplc="C40478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82709E"/>
    <w:multiLevelType w:val="multilevel"/>
    <w:tmpl w:val="1130CC60"/>
    <w:lvl w:ilvl="0">
      <w:start w:val="1"/>
      <w:numFmt w:val="decimal"/>
      <w:suff w:val="space"/>
      <w:lvlText w:val="%1."/>
      <w:lvlJc w:val="left"/>
      <w:pPr>
        <w:ind w:left="240" w:hanging="24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5A4C"/>
    <w:rsid w:val="000B3C2B"/>
    <w:rsid w:val="003E7E05"/>
    <w:rsid w:val="004135F0"/>
    <w:rsid w:val="004955E2"/>
    <w:rsid w:val="004C2697"/>
    <w:rsid w:val="00B702A1"/>
    <w:rsid w:val="00C5076A"/>
    <w:rsid w:val="00E22B44"/>
    <w:rsid w:val="00FF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FF5A4C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rsid w:val="00FF5A4C"/>
    <w:pPr>
      <w:spacing w:after="140" w:line="288" w:lineRule="auto"/>
    </w:pPr>
  </w:style>
  <w:style w:type="paragraph" w:styleId="a5">
    <w:name w:val="List"/>
    <w:basedOn w:val="a4"/>
    <w:rsid w:val="00FF5A4C"/>
  </w:style>
  <w:style w:type="paragraph" w:customStyle="1" w:styleId="Caption">
    <w:name w:val="Caption"/>
    <w:basedOn w:val="a"/>
    <w:qFormat/>
    <w:rsid w:val="00FF5A4C"/>
    <w:pPr>
      <w:suppressLineNumbers/>
      <w:spacing w:before="120" w:after="120"/>
    </w:pPr>
    <w:rPr>
      <w:i/>
      <w:iCs/>
    </w:rPr>
  </w:style>
  <w:style w:type="paragraph" w:customStyle="1" w:styleId="a6">
    <w:name w:val="索引"/>
    <w:basedOn w:val="a"/>
    <w:qFormat/>
    <w:rsid w:val="00FF5A4C"/>
    <w:pPr>
      <w:suppressLineNumbers/>
    </w:pPr>
  </w:style>
  <w:style w:type="paragraph" w:styleId="a7">
    <w:name w:val="header"/>
    <w:basedOn w:val="a"/>
    <w:link w:val="a8"/>
    <w:uiPriority w:val="99"/>
    <w:semiHidden/>
    <w:unhideWhenUsed/>
    <w:rsid w:val="004C269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link w:val="a7"/>
    <w:uiPriority w:val="99"/>
    <w:semiHidden/>
    <w:rsid w:val="004C2697"/>
    <w:rPr>
      <w:rFonts w:cs="Mangal"/>
      <w:sz w:val="20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4C269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尾 字元"/>
    <w:basedOn w:val="a0"/>
    <w:link w:val="a9"/>
    <w:uiPriority w:val="99"/>
    <w:semiHidden/>
    <w:rsid w:val="004C2697"/>
    <w:rPr>
      <w:rFonts w:cs="Mangal"/>
      <w:sz w:val="20"/>
      <w:szCs w:val="18"/>
    </w:rPr>
  </w:style>
  <w:style w:type="paragraph" w:styleId="ab">
    <w:name w:val="List Paragraph"/>
    <w:basedOn w:val="a"/>
    <w:uiPriority w:val="34"/>
    <w:qFormat/>
    <w:rsid w:val="004C2697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933</Characters>
  <Application>Microsoft Office Word</Application>
  <DocSecurity>0</DocSecurity>
  <Lines>7</Lines>
  <Paragraphs>2</Paragraphs>
  <ScaleCrop>false</ScaleCrop>
  <Company>SYNNEX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dcterms:created xsi:type="dcterms:W3CDTF">2017-01-03T11:42:00Z</dcterms:created>
  <dcterms:modified xsi:type="dcterms:W3CDTF">2017-01-05T01:21:00Z</dcterms:modified>
  <dc:language>zh-TW</dc:language>
</cp:coreProperties>
</file>